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Как заполнять шаблоны</w:t>
      </w:r>
    </w:p>
    <w:p>
      <w:r>
        <w:t>Короткая инструкция перед скачиванием, утверждением и подписанием документов</w:t>
      </w:r>
    </w:p>
    <w:p>
      <w:pPr>
        <w:pStyle w:val="Heading1"/>
      </w:pPr>
      <w:r>
        <w:t>Главное правило</w:t>
      </w:r>
    </w:p>
    <w:p>
      <w:r>
        <w:t>Текст в квадратных скобках — это подсказка или пример. Его необходимо полностью заменить реальными сведениями конкретного объекта. Документ с незаполненными скобками или учебными данными утверждать нельзя.</w:t>
      </w:r>
    </w:p>
    <w:p>
      <w:pPr>
        <w:pStyle w:val="Heading1"/>
      </w:pPr>
      <w:r>
        <w:t>Примеры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C16547"/>
          </w:tcPr>
          <w:p>
            <w:r>
              <w:rPr>
                <w:b/>
                <w:color w:val="FFFFFF"/>
              </w:rPr>
              <w:t>В шаблоне</w:t>
            </w:r>
          </w:p>
        </w:tc>
        <w:tc>
          <w:tcPr>
            <w:tcW w:type="dxa" w:w="3251"/>
            <w:shd w:fill="C16547"/>
          </w:tcPr>
          <w:p>
            <w:r>
              <w:rPr>
                <w:b/>
                <w:color w:val="FFFFFF"/>
              </w:rPr>
              <w:t>Как заполнить</w:t>
            </w:r>
          </w:p>
        </w:tc>
        <w:tc>
          <w:tcPr>
            <w:tcW w:type="dxa" w:w="3251"/>
            <w:shd w:fill="C16547"/>
          </w:tcPr>
          <w:p>
            <w:r>
              <w:rPr>
                <w:b/>
                <w:color w:val="FFFFFF"/>
              </w:rPr>
              <w:t>Проверка</w:t>
            </w:r>
          </w:p>
        </w:tc>
      </w:tr>
      <w:tr>
        <w:tc>
          <w:tcPr>
            <w:tcW w:type="dxa" w:w="3251"/>
          </w:tcPr>
          <w:p>
            <w:r>
              <w:t>[ФИО, например: Иванов Иван Иванович]</w:t>
            </w:r>
          </w:p>
        </w:tc>
        <w:tc>
          <w:tcPr>
            <w:tcW w:type="dxa" w:w="3251"/>
          </w:tcPr>
          <w:p>
            <w:r>
              <w:t>Реальное ФИО ответственного</w:t>
            </w:r>
          </w:p>
        </w:tc>
        <w:tc>
          <w:tcPr>
            <w:tcW w:type="dxa" w:w="3251"/>
          </w:tcPr>
          <w:p>
            <w:r>
              <w:t>Сверить с кадровым документом</w:t>
            </w:r>
          </w:p>
        </w:tc>
      </w:tr>
      <w:tr>
        <w:tc>
          <w:tcPr>
            <w:tcW w:type="dxa" w:w="3251"/>
          </w:tcPr>
          <w:p>
            <w:r>
              <w:t>[ИНН — укажите реальные 10 или 12 цифр]</w:t>
            </w:r>
          </w:p>
        </w:tc>
        <w:tc>
          <w:tcPr>
            <w:tcW w:type="dxa" w:w="3251"/>
          </w:tcPr>
          <w:p>
            <w:r>
              <w:t>Реальный ИНН</w:t>
            </w:r>
          </w:p>
        </w:tc>
        <w:tc>
          <w:tcPr>
            <w:tcW w:type="dxa" w:w="3251"/>
          </w:tcPr>
          <w:p>
            <w:r>
              <w:t>Проверить количество цифр и реквизиты</w:t>
            </w:r>
          </w:p>
        </w:tc>
      </w:tr>
      <w:tr>
        <w:tc>
          <w:tcPr>
            <w:tcW w:type="dxa" w:w="3251"/>
          </w:tcPr>
          <w:p>
            <w:r>
              <w:t>[должность, например: управляющий]</w:t>
            </w:r>
          </w:p>
        </w:tc>
        <w:tc>
          <w:tcPr>
            <w:tcW w:type="dxa" w:w="3251"/>
          </w:tcPr>
          <w:p>
            <w:r>
              <w:t>Должность по штатным/договорным документам</w:t>
            </w:r>
          </w:p>
        </w:tc>
        <w:tc>
          <w:tcPr>
            <w:tcW w:type="dxa" w:w="3251"/>
          </w:tcPr>
          <w:p>
            <w:r>
              <w:t>Не придумывать полномочия</w:t>
            </w:r>
          </w:p>
        </w:tc>
      </w:tr>
      <w:tr>
        <w:tc>
          <w:tcPr>
            <w:tcW w:type="dxa" w:w="3251"/>
          </w:tcPr>
          <w:p>
            <w:r>
              <w:t>[адрес объекта, например: г. Город…]</w:t>
            </w:r>
          </w:p>
        </w:tc>
        <w:tc>
          <w:tcPr>
            <w:tcW w:type="dxa" w:w="3251"/>
          </w:tcPr>
          <w:p>
            <w:r>
              <w:t>Полный фактический адрес</w:t>
            </w:r>
          </w:p>
        </w:tc>
        <w:tc>
          <w:tcPr>
            <w:tcW w:type="dxa" w:w="3251"/>
          </w:tcPr>
          <w:p>
            <w:r>
              <w:t>Сверить с реестром и ЕГРН</w:t>
            </w:r>
          </w:p>
        </w:tc>
      </w:tr>
      <w:tr>
        <w:tc>
          <w:tcPr>
            <w:tcW w:type="dxa" w:w="3251"/>
          </w:tcPr>
          <w:p>
            <w:r>
              <w:t>[дата, например: 30.09.2026]</w:t>
            </w:r>
          </w:p>
        </w:tc>
        <w:tc>
          <w:tcPr>
            <w:tcW w:type="dxa" w:w="3251"/>
          </w:tcPr>
          <w:p>
            <w:r>
              <w:t>Фактическая дата подписания</w:t>
            </w:r>
          </w:p>
        </w:tc>
        <w:tc>
          <w:tcPr>
            <w:tcW w:type="dxa" w:w="3251"/>
          </w:tcPr>
          <w:p>
            <w:r>
              <w:t>Не оформлять задним числом</w:t>
            </w:r>
          </w:p>
        </w:tc>
      </w:tr>
    </w:tbl>
    <w:p>
      <w:pPr>
        <w:pStyle w:val="Heading1"/>
      </w:pPr>
      <w:r>
        <w:t>Подписи</w:t>
      </w:r>
    </w:p>
    <w:p>
      <w:pPr>
        <w:pStyle w:val="ListBullet"/>
      </w:pPr>
      <w:r>
        <w:t>Гость подписывает только документы, фиксирующие его ознакомление, согласие, получение или участие в акте.</w:t>
      </w:r>
    </w:p>
    <w:p>
      <w:pPr>
        <w:pStyle w:val="ListBullet"/>
      </w:pPr>
      <w:r>
        <w:t>Работник подписывает лист ознакомления после реального инструктажа или ознакомления.</w:t>
      </w:r>
    </w:p>
    <w:p>
      <w:pPr>
        <w:pStyle w:val="ListBullet"/>
      </w:pPr>
      <w:r>
        <w:t>Руководитель подписывает приказ или гриф утверждения при наличии полномочий.</w:t>
      </w:r>
    </w:p>
    <w:p>
      <w:pPr>
        <w:pStyle w:val="ListBullet"/>
      </w:pPr>
      <w:r>
        <w:t>Для публичной оферты возможен электронный акцепт, если можно доказать версию документа, дату, время и действие пользователя.</w:t>
      </w:r>
    </w:p>
    <w:p>
      <w:pPr>
        <w:pStyle w:val="Heading1"/>
      </w:pPr>
      <w:r>
        <w:t>Что нельзя заменять шаблоном</w:t>
      </w:r>
    </w:p>
    <w:p>
      <w:pPr>
        <w:pStyle w:val="ListBullet"/>
      </w:pPr>
      <w:r>
        <w:t>официальные формы МВД и государственных информационных систем;</w:t>
      </w:r>
    </w:p>
    <w:p>
      <w:pPr>
        <w:pStyle w:val="ListBullet"/>
      </w:pPr>
      <w:r>
        <w:t>план эвакуации, подготовленный по фактической планировке;</w:t>
      </w:r>
    </w:p>
    <w:p>
      <w:pPr>
        <w:pStyle w:val="ListBullet"/>
      </w:pPr>
      <w:r>
        <w:t>пожарная декларация и расчёт пожарного риска;</w:t>
      </w:r>
    </w:p>
    <w:p>
      <w:pPr>
        <w:pStyle w:val="ListBullet"/>
      </w:pPr>
      <w:r>
        <w:t>СОУТ и лабораторные протоколы;</w:t>
      </w:r>
    </w:p>
    <w:p>
      <w:pPr>
        <w:pStyle w:val="ListBullet"/>
      </w:pPr>
      <w:r>
        <w:t>паспорт антитеррористической защищённости;</w:t>
      </w:r>
    </w:p>
    <w:p>
      <w:pPr>
        <w:pStyle w:val="ListBullet"/>
      </w:pPr>
      <w:r>
        <w:t>документы классификации, создаваемые в официальной системе.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ДОКУМЕНТЫ ОТЕЛЬЕРА • 00-00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