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Правила проживания и предоставления услуг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1. Общие положения</w:t>
      </w:r>
    </w:p>
    <w:p>
      <w:pPr/>
      <w:r>
        <w:rPr>
          <w:rFonts w:ascii="Times New Roman" w:hAnsi="Times New Roman" w:eastAsia="Times New Roman"/>
          <w:color w:val="000000"/>
        </w:rPr>
        <w:t>Исполнитель [например: ИП Иванов Иван Иванович] предоставляет услуги временного проживания в объекте [ТИП, НАЗВАНИЕ, АДРЕС], номер записи в реестре [номер записи в реестре]. Настоящие правила доступны до бронирования и в месте оказания услуг.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2. Бронирование</w:t>
      </w:r>
    </w:p>
    <w:p>
      <w:pPr/>
      <w:r>
        <w:rPr>
          <w:rFonts w:ascii="Times New Roman" w:hAnsi="Times New Roman" w:eastAsia="Times New Roman"/>
          <w:color w:val="000000"/>
        </w:rPr>
        <w:t>Подтверждение содержит даты, категорию номера, число гостей, цену, включённые услуги, порядок оплаты, изменения и отмены. Гарантированное и негарантированное бронирование применяются по условиям подтверждения.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3. Заезд и выезд</w:t>
      </w:r>
    </w:p>
    <w:p>
      <w:pPr/>
      <w:r>
        <w:rPr>
          <w:rFonts w:ascii="Times New Roman" w:hAnsi="Times New Roman" w:eastAsia="Times New Roman"/>
          <w:color w:val="000000"/>
        </w:rPr>
        <w:t>Заезд с [например: 14:00], выезд до [например: 14:00]. Заселение проводится по документам и цифровым сведениям, допустимым действующими правилами. Ранний заезд и поздний выезд предоставляются при наличии возможности по опубликованной цене.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4. Оплата</w:t>
      </w:r>
    </w:p>
    <w:p>
      <w:pPr/>
      <w:r>
        <w:rPr>
          <w:rFonts w:ascii="Times New Roman" w:hAnsi="Times New Roman" w:eastAsia="Times New Roman"/>
          <w:color w:val="000000"/>
        </w:rPr>
        <w:t>Способы оплаты: [СПОСОБЫ]. Гость получает кассовый документ. Туристический налог рассчитывается при наличии условий НК РФ и местного акта.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5. Проживание</w:t>
      </w:r>
    </w:p>
    <w:p>
      <w:pPr/>
      <w:r>
        <w:rPr>
          <w:rFonts w:ascii="Times New Roman" w:hAnsi="Times New Roman" w:eastAsia="Times New Roman"/>
          <w:color w:val="000000"/>
        </w:rPr>
        <w:t>Гость соблюдает тишину, пожарную безопасность, назначение помещений, правила ключей и сообщает о неисправностях. Курение допускается только в обозначенных местах. Передача ключа и допуск незарегистрированных лиц регулируются правилами безопасности.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6. Уборка и доступ в номер</w:t>
      </w:r>
    </w:p>
    <w:p>
      <w:pPr/>
      <w:r>
        <w:rPr>
          <w:rFonts w:ascii="Times New Roman" w:hAnsi="Times New Roman" w:eastAsia="Times New Roman"/>
          <w:color w:val="000000"/>
        </w:rPr>
        <w:t>Периодичность уборки: [ПОРЯДОК]. Персонал входит после стука и объявления службы. При табличке «Не беспокоить» доступ откладывается, кроме аварии или угрозы безопасности по утверждённой процедуре.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7. Имущество</w:t>
      </w:r>
    </w:p>
    <w:p>
      <w:pPr/>
      <w:r>
        <w:rPr>
          <w:rFonts w:ascii="Times New Roman" w:hAnsi="Times New Roman" w:eastAsia="Times New Roman"/>
          <w:color w:val="000000"/>
        </w:rPr>
        <w:t>Повреждение фиксируется актом и доказательствами. Возмещается документально подтверждённый ущерб; произвольные штрафы не применяются.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8. Жалобы и споры</w:t>
      </w:r>
    </w:p>
    <w:p>
      <w:pPr/>
      <w:r>
        <w:rPr>
          <w:rFonts w:ascii="Times New Roman" w:hAnsi="Times New Roman" w:eastAsia="Times New Roman"/>
          <w:color w:val="000000"/>
        </w:rPr>
        <w:t>Канал обращения: [АДРЕС/EMAIL/ТЕЛЕФОН]. Исполнитель регистрирует обращение и отвечает в установленный законом срок. Законные права потребителя настоящими правилами не ограничиваются.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Постановление Правительства РФ № 1912 от 27.11.2025; Закон РФ № 2300-1; Федеральный закон № 132-ФЗ.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Перед утверждением заполните поля, удалите неприменимые варианты и сверьте редакцию норм с особенностями здания, региона и услуг.</w:t>
      </w:r>
    </w:p>
    <w:p>
      <w:pPr/>
      <w:r>
        <w:rPr>
          <w:rFonts w:ascii="Times New Roman" w:hAnsi="Times New Roman" w:eastAsia="Times New Roman"/>
          <w:color w:val="000000"/>
        </w:rPr>
        <w:t>Я подтверждаю, что до заключения договора получил(а) документ, ознакомился(лась) с его условиями и принимаю их в части, не противоречащей законодательству Российской Федерации.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Гость / заказчик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Бронирование / номер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При дистанционном оформлении вместо рукописной подписи хранится подтверждение акцепта: версия документа, дата и время, идентификатор бронирования и совершённое гостем действие.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проживания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