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4"/>
        <w:gridCol w:w="4904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 / [личная подпись] /</w:t>
              <w:br/>
              <w:t>«___» 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Правила проживания с домашними животными</w:t>
      </w:r>
    </w:p>
    <w:p>
      <w:pPr/>
      <w:r>
        <w:rPr>
          <w:rFonts w:ascii="Times New Roman" w:hAnsi="Times New Roman" w:eastAsia="Times New Roman"/>
          <w:i/>
          <w:color w:val="000000"/>
        </w:rPr>
        <w:t>Приложение к правилам проживания средства размещения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1. Область применения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Правила применяются при размещении гостей с домашними собаками и кошками в объекте [название и адрес]. Возможность размещения, допустимые категории номеров и ограничения сообщаются до бронирования.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2. Предварительное согласование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Гость до заезда сообщает вид, количество, примерный вес и особенности поведения животного. Размещение считается согласованным после получения письменного подтверждения объекта.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Требования к документам о животном устанавливаются только при наличии законного или объективно обоснованного основания и заранее доводятся до гостя.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3. Обязанности владельца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Постоянно контролировать животное и не допускать угрозы людям, другим животным и имуществу.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Использовать поводок, переноску, намордник и иные средства с учётом вида животного, ситуации и требований закона.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Убирать за животным, не использовать гостиничный текстиль для ухода за ним и соблюдать обозначенные зоны.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Согласовывать время уборки номера и присутствовать при ней, если это требуется для безопасности персонала.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4. Номер и общественные зоны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Животное не оставляется без присмотра, если это создаёт шум, риск повреждений или препятствует уборке.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Доступ в ресторан, бассейн, СПА, детские и иные зоны определяется правилами объекта и санитарными требованиями.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Запрещается купать животное в сантехнике номера и размещать его на кровати, если объектом установлено такое условие и оно сообщено до бронирования.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5. Оплата и обеспечительный платёж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Стоимость размещения и специальной уборки: [указать сумму или «не применяется»].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Обеспечительный платёж: [сумма, назначение, срок и способ возврата либо «не применяется»].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Удержание производится только на основании согласованных условий и документально подтверждённых расходов или ущерба. Автоматические штрафы без фиксации обстоятельств не применяются.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6. Повреждение и инцидент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Событие фиксируется актом, фотографиями и объяснениями сторон. Гостю предоставляется экземпляр акта или возможность изложить замечания.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При реальной угрозе объект вправе потребовать прекратить нарушение, изолировать животное либо досрочно прекратить размещение в порядке, не противоречащем закону и договору.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7. Собака-проводник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Правила для домашних животных не применяются таким образом, чтобы ограничить законные права человека с инвалидностью, использующего собаку-проводника. Учитываются гарантии Федерального закона №181-ФЗ и документ, подтверждающий специальное обучение собаки-проводника.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Ознакомление гостя</w:t>
      </w:r>
    </w:p>
    <w:p>
      <w:pPr/>
      <w:r>
        <w:rPr>
          <w:rFonts w:ascii="Times New Roman" w:hAnsi="Times New Roman" w:eastAsia="Times New Roman"/>
          <w:color w:val="000000"/>
        </w:rPr>
        <w:t>Я подтверждаю, что получил(а) Правила до заселения, ознакомился(лась) с условиями размещения с животным и обязуюсь их соблюдать в части, не противоречащей законодательству Российской Федерации.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 гостя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Бронирование / номер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[например: Иванов Иван Иванович]</w:t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Постановление Правительства РФ №1912 от 27.11.2025; Закон РФ №2300-1; ГК РФ; Федеральные законы №498-ФЗ и №181-ФЗ — в применимой части. Отдельная обязательная государственная форма правил размещения с животными не установлена.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