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Times New Roman" w:hAnsi="Times New Roman" w:eastAsia="Times New Roman"/>
          <w:color w:val="000000"/>
        </w:rPr>
        <w:t>Ежедневный лист пожарного контроля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1401"/>
        <w:gridCol w:w="1401"/>
        <w:gridCol w:w="1401"/>
        <w:gridCol w:w="1401"/>
        <w:gridCol w:w="1401"/>
        <w:gridCol w:w="1401"/>
        <w:gridCol w:w="1401"/>
      </w:tblGrid>
      <w:tr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Дата/смена</w:t>
            </w:r>
          </w:p>
        </w:tc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Выходы</w:t>
            </w:r>
          </w:p>
        </w:tc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Панель систем</w:t>
            </w:r>
          </w:p>
        </w:tc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Огнетушители</w:t>
            </w:r>
          </w:p>
        </w:tc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Электрика</w:t>
            </w:r>
          </w:p>
        </w:tc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Нарушение/мера</w:t>
            </w:r>
          </w:p>
        </w:tc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Подпись</w:t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</w:tbl>
    <w:sectPr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Times New Roman" w:hAnsi="Times New Roman" w:eastAsia="Times New Roman"/>
        <w:color w:val="000000"/>
        <w:sz w:val="18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80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60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Ежедневный лист пожарного контроля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