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Техническое задание на планы эвакуации</w:t>
      </w:r>
    </w:p>
    <w:p>
      <w:r>
        <w:rPr>
          <w:i/>
          <w:color w:val="8A7A68"/>
        </w:rPr>
        <w:t>Не заменяет индивидуально изготовленный план</w:t>
      </w:r>
    </w:p>
    <w:p>
      <w:pPr>
        <w:pStyle w:val="ListBullet"/>
      </w:pPr>
      <w:r>
        <w:t>поэтажные планы и актуальная планировка;</w:t>
      </w:r>
    </w:p>
    <w:p>
      <w:pPr>
        <w:pStyle w:val="ListBullet"/>
      </w:pPr>
      <w:r>
        <w:t>места «Вы находитесь здесь», выходы, лестницы и направление движения;</w:t>
      </w:r>
    </w:p>
    <w:p>
      <w:pPr>
        <w:pStyle w:val="ListBullet"/>
      </w:pPr>
      <w:r>
        <w:t>огнетушители, ручные извещатели, телефоны и средства спасения;</w:t>
      </w:r>
    </w:p>
    <w:p>
      <w:pPr>
        <w:pStyle w:val="ListBullet"/>
      </w:pPr>
      <w:r>
        <w:t>текстовая часть действий при пожаре;</w:t>
      </w:r>
    </w:p>
    <w:p>
      <w:pPr>
        <w:pStyle w:val="ListBullet"/>
      </w:pPr>
      <w:r>
        <w:t>русский язык и английский — при размещении иностранных граждан;</w:t>
      </w:r>
    </w:p>
    <w:p>
      <w:pPr>
        <w:pStyle w:val="ListBullet"/>
      </w:pPr>
      <w:r>
        <w:t>соответствие фактическим дверям, замкам, системам и освещению;</w:t>
      </w:r>
    </w:p>
    <w:p>
      <w:pPr>
        <w:pStyle w:val="ListBullet"/>
      </w:pPr>
      <w:r>
        <w:t>утверждение и размещение после проверки маршрута на месте.</w:t>
      </w:r>
    </w:p>
    <w:p>
      <w:r>
        <w:t>Заказчик передаёт исполнителю планы БТИ/обмеры, сведения о системах и ответственных лицах. При изменении планировки план пересматривается.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7A68"/>
        <w:sz w:val="16"/>
      </w:rPr>
      <w:t xml:space="preserve">Универсальная форма • 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8A7A68"/>
        <w:sz w:val="16"/>
      </w:rPr>
      <w:t>БИБЛИОТЕКА ДЛЯ ОТЕЛЬЕРОВ  •  02-11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 на планы эвакуации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