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Политика обработки персональных данных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Оператор</w:t>
      </w:r>
    </w:p>
    <w:p>
      <w:pPr/>
      <w:r>
        <w:rPr>
          <w:rFonts w:ascii="Times New Roman" w:hAnsi="Times New Roman" w:eastAsia="Times New Roman"/>
          <w:color w:val="000000"/>
        </w:rPr>
        <w:t>Оператор: [наименование оператора, адрес и контакт]. Политика применяется к сайту [например: hotel-example.ru], бронированию, размещению, видеонаблюдению и трудовым отношениям в заявленном объёме.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2. Категории лиц</w:t>
      </w:r>
    </w:p>
    <w:p>
      <w:pPr/>
      <w:r>
        <w:rPr>
          <w:rFonts w:ascii="Times New Roman" w:hAnsi="Times New Roman" w:eastAsia="Times New Roman"/>
          <w:color w:val="000000"/>
        </w:rPr>
        <w:t>Гости, заказчики, посетители сайта, представители контрагентов, кандидаты и работники.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3. Цели и данные</w:t>
      </w:r>
    </w:p>
    <w:p>
      <w:pPr/>
      <w:r>
        <w:rPr>
          <w:rFonts w:ascii="Times New Roman" w:hAnsi="Times New Roman" w:eastAsia="Times New Roman"/>
          <w:color w:val="000000"/>
        </w:rPr>
        <w:t>Для каждой цели утверждается отдельный перечень данных, основание, операции, срок и получатели. Не собираются данные «на всякий случай».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4. Основания</w:t>
      </w:r>
    </w:p>
    <w:p>
      <w:pPr/>
      <w:r>
        <w:rPr>
          <w:rFonts w:ascii="Times New Roman" w:hAnsi="Times New Roman" w:eastAsia="Times New Roman"/>
          <w:color w:val="000000"/>
        </w:rPr>
        <w:t>Договор, обязанность по закону, согласие для необязательных целей и иные основания статьи 6 Закона №152-ФЗ.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5. Передача</w:t>
      </w:r>
    </w:p>
    <w:p>
      <w:pPr/>
      <w:r>
        <w:rPr>
          <w:rFonts w:ascii="Times New Roman" w:hAnsi="Times New Roman" w:eastAsia="Times New Roman"/>
          <w:color w:val="000000"/>
        </w:rPr>
        <w:t>Подрядчики получают данные по договору-поручению и только в необходимом объёме. Трансграничная передача выполняется после соблюдения специального порядка; первичная запись данных граждан РФ — в базах на территории РФ.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6. Сроки и уничтожение</w:t>
      </w:r>
    </w:p>
    <w:p>
      <w:pPr/>
      <w:r>
        <w:rPr>
          <w:rFonts w:ascii="Times New Roman" w:hAnsi="Times New Roman" w:eastAsia="Times New Roman"/>
          <w:color w:val="000000"/>
        </w:rPr>
        <w:t>Данные прекращают обрабатывать при достижении цели, истечении обязательного срока или отзыве согласия, если нет иного основания. Уничтожение подтверждается актом/выгрузкой.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7. Права</w:t>
      </w:r>
    </w:p>
    <w:p>
      <w:pPr/>
      <w:r>
        <w:rPr>
          <w:rFonts w:ascii="Times New Roman" w:hAnsi="Times New Roman" w:eastAsia="Times New Roman"/>
          <w:color w:val="000000"/>
        </w:rPr>
        <w:t>Запрос направляется по адресу [EMAIL/ПОЧТА]. Оператор проверяет личность заявителя и отвечает в установленный законом срок.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8. Безопасность</w:t>
      </w:r>
    </w:p>
    <w:p>
      <w:pPr/>
      <w:r>
        <w:rPr>
          <w:rFonts w:ascii="Times New Roman" w:hAnsi="Times New Roman" w:eastAsia="Times New Roman"/>
          <w:color w:val="000000"/>
        </w:rPr>
        <w:t>Назначается ответственный, ограничиваются доступы, ведутся журналы, резервное копирование и реагирование на инциденты.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9. Cookie</w:t>
      </w:r>
    </w:p>
    <w:p>
      <w:pPr/>
      <w:r>
        <w:rPr>
          <w:rFonts w:ascii="Times New Roman" w:hAnsi="Times New Roman" w:eastAsia="Times New Roman"/>
          <w:color w:val="000000"/>
        </w:rPr>
        <w:t>Категории cookie и аналитики: [ПЕРЕЧЕНЬ]. Необязательные технологии включаются по выбранной настройке пользователя.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Федеральный закон №152-ФЗ; подзаконные акты Роскомнадзора и Правительства РФ в применимой части.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Перед утверждением заполните поля, удалите неприменимые варианты и сверьте редакцию норм с особенностями здания, региона и услуг.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ПДн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