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3969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__________ / [личная подпись] /</w:t>
              <w:br/>
              <w:t>«___» __________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Положение об обработке и защите персональных данных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Роли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Руководитель утверждает документы; ответственный ведёт реестр процессов; владельцы систем дают доступ; работники соблюдают конфиденциальность.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Доступ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Доступ предоставляется по заявке и роли, пересматривается при переводе/увольнении, общие учётные записи запрещаются.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Хранение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Бумажные документы хранятся закрыто; электронные — в утверждённых системах с резервированием и журналированием.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Передача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Передача выполняется по защищённому каналу, по договору и минимальному составу. Мессенджеры и личные почты не используются без утверждённого режима.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Уничтожение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По окончании срока оформляется акт; резервные копии очищаются по циклу хранения.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Инцидент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Работник немедленно сообщает по каналу [например: официальный email или почтовый адрес], ничего не удаляет и сохраняет доказательства. Ответственный оценивает уведомления и меры.</w:t>
      </w:r>
    </w:p>
    <w:p>
      <w:pPr/>
      <w:r>
        <w:rPr>
          <w:rFonts w:ascii="Times New Roman" w:hAnsi="Times New Roman" w:eastAsia="Times New Roman"/>
          <w:color w:val="000000"/>
        </w:rPr>
        <w:t>Лист ознакомления работников: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ПДн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