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Times New Roman" w:hAnsi="Times New Roman" w:eastAsia="Times New Roman"/>
          <w:color w:val="000000"/>
        </w:rPr>
        <w:t>Поручение обработки персональных данных подрядчику</w:t>
      </w:r>
    </w:p>
    <w:p>
      <w:pPr/>
      <w:r>
        <w:rPr>
          <w:rFonts w:ascii="Times New Roman" w:hAnsi="Times New Roman" w:eastAsia="Times New Roman"/>
          <w:i/>
          <w:color w:val="000000"/>
        </w:rPr>
        <w:t>Приложение к договору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904"/>
        <w:gridCol w:w="4904"/>
      </w:tblGrid>
      <w:tr>
        <w:tc>
          <w:tcPr>
            <w:tcW w:type="dxa" w:w="4904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Условие</w:t>
            </w:r>
          </w:p>
        </w:tc>
        <w:tc>
          <w:tcPr>
            <w:tcW w:type="dxa" w:w="4904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Содержание</w:t>
            </w:r>
          </w:p>
        </w:tc>
      </w:tr>
      <w:tr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Цели</w:t>
            </w:r>
          </w:p>
        </w:tc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[___]</w:t>
            </w:r>
          </w:p>
        </w:tc>
      </w:tr>
      <w:tr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Перечень данных и субъектов</w:t>
            </w:r>
          </w:p>
        </w:tc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[___]</w:t>
            </w:r>
          </w:p>
        </w:tc>
      </w:tr>
      <w:tr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Операции</w:t>
            </w:r>
          </w:p>
        </w:tc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[___]</w:t>
            </w:r>
          </w:p>
        </w:tc>
      </w:tr>
      <w:tr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Срок</w:t>
            </w:r>
          </w:p>
        </w:tc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[___]</w:t>
            </w:r>
          </w:p>
        </w:tc>
      </w:tr>
      <w:tr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Место баз и трансграничная передача</w:t>
            </w:r>
          </w:p>
        </w:tc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[___]</w:t>
            </w:r>
          </w:p>
        </w:tc>
      </w:tr>
      <w:tr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Меры защиты</w:t>
            </w:r>
          </w:p>
        </w:tc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[___]</w:t>
            </w:r>
          </w:p>
        </w:tc>
      </w:tr>
      <w:tr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Субподрядчики</w:t>
            </w:r>
          </w:p>
        </w:tc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[ПОРЯДОК СОГЛАСОВАНИЯ]</w:t>
            </w:r>
          </w:p>
        </w:tc>
      </w:tr>
      <w:tr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Инциденты</w:t>
            </w:r>
          </w:p>
        </w:tc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Уведомить оператора не позднее [например: 30 календарных дней]</w:t>
            </w:r>
          </w:p>
        </w:tc>
      </w:tr>
      <w:tr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Возврат/уничтожение</w:t>
            </w:r>
          </w:p>
        </w:tc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[ПОРЯДОК И ПОДТВЕРЖДЕНИЕ]</w:t>
            </w:r>
          </w:p>
        </w:tc>
      </w:tr>
      <w:tr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Контроль</w:t>
            </w:r>
          </w:p>
        </w:tc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Право оператора запросить документы и провести проверку</w:t>
            </w:r>
          </w:p>
        </w:tc>
      </w:tr>
    </w:tbl>
    <w:p>
      <w:pPr/>
      <w:r>
        <w:rPr>
          <w:rFonts w:ascii="Times New Roman" w:hAnsi="Times New Roman" w:eastAsia="Times New Roman"/>
          <w:color w:val="000000"/>
        </w:rPr>
        <w:t>Обработчик соблюдает конфиденциальность, действует только по документированным указаниям оператора и предоставляет сведения, необходимые для исполнения обязанностей оператора.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52"/>
        <w:gridCol w:w="2452"/>
        <w:gridCol w:w="2452"/>
        <w:gridCol w:w="2452"/>
      </w:tblGrid>
      <w:tr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Сторона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ФИО / должность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Подпись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Дата</w:t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Сторона 1</w:t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Сторона 2</w:t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</w:tbl>
    <w:sectPr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Times New Roman" w:hAnsi="Times New Roman" w:eastAsia="Times New Roman"/>
        <w:color w:val="000000"/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8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6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Поручение обработки подрядчику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