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3969"/>
      </w:tblGrid>
      <w:tr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УТВЕРЖДАЮ</w:t>
              <w:br/>
              <w:t>[должность, например: управляющий]</w:t>
              <w:br/>
              <w:t>__________ / [личная подпись] /</w:t>
              <w:br/>
              <w:t>«___» __________ 20__ г.</w:t>
            </w:r>
          </w:p>
        </w:tc>
      </w:tr>
    </w:tbl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Программа производственного контроля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1. Сведения об объекте</w:t>
      </w:r>
    </w:p>
    <w:p>
      <w:pPr/>
      <w:r>
        <w:rPr>
          <w:rFonts w:ascii="Times New Roman" w:hAnsi="Times New Roman" w:eastAsia="Times New Roman"/>
          <w:color w:val="000000"/>
        </w:rPr>
        <w:t>[ТИП ОБЪЕКТА, АДРЕС, ВОДОСНАБЖЕНИЕ, КУХНЯ, ПРАЧЕЧНАЯ, БАССЕЙН, ЧИСЛО РАБОТНИКОВ]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2. Ответственные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269"/>
        <w:gridCol w:w="3269"/>
        <w:gridCol w:w="3269"/>
      </w:tblGrid>
      <w:tr>
        <w:tc>
          <w:tcPr>
            <w:tcW w:type="dxa" w:w="3269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Направление</w:t>
            </w:r>
          </w:p>
        </w:tc>
        <w:tc>
          <w:tcPr>
            <w:tcW w:type="dxa" w:w="3269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Должность</w:t>
            </w:r>
          </w:p>
        </w:tc>
        <w:tc>
          <w:tcPr>
            <w:tcW w:type="dxa" w:w="3269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Замещение</w:t>
            </w:r>
          </w:p>
        </w:tc>
      </w:tr>
      <w:tr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Уборка и дезинфекция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Вода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Бельё/прачечная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Питание/ХАССП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Бассейн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Условия труда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</w:rPr>
        <w:t>3. Контрольные мероприятия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962"/>
        <w:gridCol w:w="1962"/>
        <w:gridCol w:w="1962"/>
        <w:gridCol w:w="1962"/>
        <w:gridCol w:w="1962"/>
      </w:tblGrid>
      <w:tr>
        <w:tc>
          <w:tcPr>
            <w:tcW w:type="dxa" w:w="196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Объект/фактор</w:t>
            </w:r>
          </w:p>
        </w:tc>
        <w:tc>
          <w:tcPr>
            <w:tcW w:type="dxa" w:w="196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Метод</w:t>
            </w:r>
          </w:p>
        </w:tc>
        <w:tc>
          <w:tcPr>
            <w:tcW w:type="dxa" w:w="196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Периодичность</w:t>
            </w:r>
          </w:p>
        </w:tc>
        <w:tc>
          <w:tcPr>
            <w:tcW w:type="dxa" w:w="196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Исполнитель</w:t>
            </w:r>
          </w:p>
        </w:tc>
        <w:tc>
          <w:tcPr>
            <w:tcW w:type="dxa" w:w="196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Документ</w:t>
            </w:r>
          </w:p>
        </w:tc>
      </w:tr>
      <w:tr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Питьевая/горячая вода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По программе и источнику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Протокол</w:t>
            </w:r>
          </w:p>
        </w:tc>
      </w:tr>
      <w:tr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Уборка/дезсредства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Осмотр, журналы, при необходимости смывы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Журнал/протокол</w:t>
            </w:r>
          </w:p>
        </w:tc>
      </w:tr>
      <w:tr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Вредители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Осмотр и договорные работы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Акт</w:t>
            </w:r>
          </w:p>
        </w:tc>
      </w:tr>
      <w:tr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Бельё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Маршруты, хранение, стирка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Журнал</w:t>
            </w:r>
          </w:p>
        </w:tc>
      </w:tr>
      <w:tr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Питание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ХАССП, температура, лабораторный контроль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Журналы</w:t>
            </w:r>
          </w:p>
        </w:tc>
      </w:tr>
      <w:tr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Бассейн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Вода и режим эксплуатации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  <w:tc>
          <w:tcPr>
            <w:tcW w:type="dxa" w:w="196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Протокол</w:t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</w:rPr>
        <w:t>4. Аварийные действия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При ухудшении воды, инфекции, вредителях или аварии остановить опасный процесс, изолировать зону, уведомить ответственного, организовать исследования/обработку и документировать допуск к работе.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Нормативная основа</w:t>
      </w:r>
    </w:p>
    <w:p>
      <w:pPr/>
      <w:r>
        <w:rPr>
          <w:rFonts w:ascii="Times New Roman" w:hAnsi="Times New Roman" w:eastAsia="Times New Roman"/>
          <w:color w:val="000000"/>
        </w:rPr>
        <w:t>Федеральный закон №52-ФЗ; действующие санитарные правила по условиям проживания, воде, труду, питанию и конкретным услугам. Периодичность исследований определяется по факторам и применимым нормам, а не копируется универсально.</w:t>
      </w:r>
    </w:p>
    <w:p>
      <w:pPr>
        <w:pStyle w:val="IntenseQuote"/>
      </w:pPr>
      <w:r>
        <w:rPr>
          <w:rFonts w:ascii="Times New Roman" w:hAnsi="Times New Roman" w:eastAsia="Times New Roman"/>
          <w:color w:val="000000"/>
        </w:rPr>
        <w:t>Перед утверждением заполните поля, удалите неприменимые варианты и сверьте редакцию норм с особенностями здания, региона и услуг.</w:t>
      </w:r>
    </w:p>
    <w:p>
      <w:pPr/>
      <w:r>
        <w:rPr>
          <w:rFonts w:ascii="Times New Roman" w:hAnsi="Times New Roman" w:eastAsia="Times New Roman"/>
          <w:color w:val="000000"/>
        </w:rPr>
        <w:t>Лист ознакомления работников: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производственного контроля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