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16547"/>
          <w:sz w:val="52"/>
        </w:rPr>
        <w:t>▌</w:t>
      </w:r>
    </w:p>
    <w:p>
      <w:pPr>
        <w:pStyle w:val="Title"/>
      </w:pPr>
      <w:r>
        <w:t>Обязательная информация для сайта и стойки</w:t>
      </w:r>
    </w:p>
    <w:p>
      <w:r>
        <w:rPr>
          <w:i/>
          <w:color w:val="8A7A68"/>
        </w:rPr>
        <w:t>Контроль раскрытия информации гостю до бронирования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C16547"/>
          </w:tcPr>
          <w:p>
            <w:r>
              <w:rPr>
                <w:b/>
                <w:color w:val="FFFFFF"/>
              </w:rPr>
              <w:t>Сведения</w:t>
            </w:r>
          </w:p>
        </w:tc>
        <w:tc>
          <w:tcPr>
            <w:tcW w:type="dxa" w:w="2452"/>
            <w:shd w:fill="C16547"/>
          </w:tcPr>
          <w:p>
            <w:r>
              <w:rPr>
                <w:b/>
                <w:color w:val="FFFFFF"/>
              </w:rPr>
              <w:t>Сайт</w:t>
            </w:r>
          </w:p>
        </w:tc>
        <w:tc>
          <w:tcPr>
            <w:tcW w:type="dxa" w:w="2452"/>
            <w:shd w:fill="C16547"/>
          </w:tcPr>
          <w:p>
            <w:r>
              <w:rPr>
                <w:b/>
                <w:color w:val="FFFFFF"/>
              </w:rPr>
              <w:t>Стойка</w:t>
            </w:r>
          </w:p>
        </w:tc>
        <w:tc>
          <w:tcPr>
            <w:tcW w:type="dxa" w:w="2452"/>
            <w:shd w:fill="C16547"/>
          </w:tcPr>
          <w:p>
            <w:r>
              <w:rPr>
                <w:b/>
                <w:color w:val="FFFFFF"/>
              </w:rPr>
              <w:t>Проверено</w:t>
            </w:r>
          </w:p>
        </w:tc>
      </w:tr>
      <w:tr>
        <w:tc>
          <w:tcPr>
            <w:tcW w:type="dxa" w:w="2452"/>
          </w:tcPr>
          <w:p>
            <w:r>
              <w:t>Исполнитель, адрес и контакты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>
              <w:t>Государственная регистрация исполнителя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>
              <w:t>Тип объекта и номер записи в реестре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>
              <w:t>Категория объекта и номеров — если присвоена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>
              <w:t>Цены и состав услуг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>
              <w:t>Условия и способы бронирования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>
              <w:t>Заезд, выезд и расчётный час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>
              <w:t>Порядок оплаты, отмены и возврата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>
              <w:t>Перечень бесплатных услуг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>
              <w:t>Правила проживания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>
              <w:t>Условия для детей и животных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>
              <w:t>Доступность для гостей с инвалидностью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>
              <w:t>Порядок подачи претензии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  <w:tr>
        <w:tc>
          <w:tcPr>
            <w:tcW w:type="dxa" w:w="2452"/>
          </w:tcPr>
          <w:p>
            <w:r>
              <w:t>Политика персональных данных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>
              <w:t>□</w:t>
            </w:r>
          </w:p>
        </w:tc>
        <w:tc>
          <w:tcPr>
            <w:tcW w:type="dxa" w:w="2452"/>
          </w:tcPr>
          <w:p>
            <w:r/>
          </w:p>
        </w:tc>
      </w:tr>
    </w:tbl>
    <w:p>
      <w:pPr>
        <w:pStyle w:val="Heading1"/>
      </w:pPr>
      <w:r>
        <w:t>Нормативная основа</w:t>
      </w:r>
    </w:p>
    <w:p>
      <w:r>
        <w:t>Постановление Правительства РФ №1912; Закон РФ №2300-1; Федеральный закон №132-ФЗ.</w:t>
      </w:r>
    </w:p>
    <w:p>
      <w:pPr>
        <w:pStyle w:val="IntenseQuote"/>
      </w:pPr>
      <w:r>
        <w:t>Применимость и состав документа проверяются по характеристикам конкретного объекта и действующей редакции норм.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Версия 30.09.2026 •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8A7A68"/>
        <w:sz w:val="16"/>
      </w:rPr>
      <w:t>ДОКУМЕНТЫ ОТЕЛЬЕРА • 07-03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PT Sans" w:hAnsi="PT Sans"/>
      <w:color w:val="2B2B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ontserrat" w:hAnsi="Montserrat"/>
      <w:b/>
      <w:bCs/>
      <w:color w:val="2B2B2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ontserrat" w:hAnsi="Montserrat"/>
      <w:b/>
      <w:bCs/>
      <w:color w:val="C165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ontserrat" w:hAnsi="Montserrat"/>
      <w:b/>
      <w:color w:val="2B2B2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