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16547"/>
          <w:sz w:val="52"/>
        </w:rPr>
        <w:t>▌</w:t>
      </w:r>
    </w:p>
    <w:p>
      <w:pPr>
        <w:pStyle w:val="Title"/>
      </w:pPr>
      <w:r>
        <w:t>Проверка применимости режима гостевого дома</w:t>
      </w:r>
    </w:p>
    <w:p>
      <w:r>
        <w:rPr>
          <w:i/>
          <w:color w:val="8A7A68"/>
        </w:rPr>
        <w:t>Для ИЖС и регионов эксперимента</w:t>
      </w:r>
    </w:p>
    <w:p>
      <w:pPr>
        <w:pStyle w:val="ListBullet"/>
      </w:pPr>
      <w:r>
        <w:t>□ субъект РФ участвует в эксперименте;</w:t>
      </w:r>
    </w:p>
    <w:p>
      <w:pPr>
        <w:pStyle w:val="ListBullet"/>
      </w:pPr>
      <w:r>
        <w:t>□ объект является индивидуальным жилым домом или его частью;</w:t>
      </w:r>
    </w:p>
    <w:p>
      <w:pPr>
        <w:pStyle w:val="ListBullet"/>
      </w:pPr>
      <w:r>
        <w:t>□ право собственности и регистрация соответствуют требованиям;</w:t>
      </w:r>
    </w:p>
    <w:p>
      <w:pPr>
        <w:pStyle w:val="ListBullet"/>
      </w:pPr>
      <w:r>
        <w:t>□ число комнат/параметры не превышают установленные пределы;</w:t>
      </w:r>
    </w:p>
    <w:p>
      <w:pPr>
        <w:pStyle w:val="ListBullet"/>
      </w:pPr>
      <w:r>
        <w:t>□ соблюдены региональные дополнительные требования;</w:t>
      </w:r>
    </w:p>
    <w:p>
      <w:pPr>
        <w:pStyle w:val="ListBullet"/>
      </w:pPr>
      <w:r>
        <w:t>□ самооценка выполнена, сведения внесены в реестр;</w:t>
      </w:r>
    </w:p>
    <w:p>
      <w:pPr>
        <w:pStyle w:val="ListBullet"/>
      </w:pPr>
      <w:r>
        <w:t>□ реклама содержит номер записи в реестре;</w:t>
      </w:r>
    </w:p>
    <w:p>
      <w:pPr>
        <w:pStyle w:val="ListBullet"/>
      </w:pPr>
      <w:r>
        <w:t>□ проверены местный туристический налог и ограничения использования участка.</w:t>
      </w:r>
    </w:p>
    <w:p>
      <w:pPr>
        <w:pStyle w:val="Heading1"/>
      </w:pPr>
      <w:r>
        <w:t>Нормативная основа</w:t>
      </w:r>
    </w:p>
    <w:p>
      <w:r>
        <w:t>Федеральный закон №127-ФЗ от 07.06.2025; постановление Правительства РФ №1345 от 30.08.2025; региональные акты эксперимента.</w:t>
      </w:r>
    </w:p>
    <w:p>
      <w:pPr>
        <w:pStyle w:val="IntenseQuote"/>
      </w:pPr>
      <w:r>
        <w:t>Применимость и состав документа проверяются по характеристикам конкретного объекта и действующей редакции норм.</w:t>
      </w:r>
    </w:p>
    <w:sectPr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Версия 30.09.2026 • 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color w:val="8A7A68"/>
        <w:sz w:val="16"/>
      </w:rPr>
      <w:t>ДОКУМЕНТЫ ОТЕЛЬЕРА • 07-06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80"/>
    </w:pPr>
    <w:rPr>
      <w:rFonts w:ascii="PT Sans" w:hAnsi="PT Sans"/>
      <w:color w:val="2B2B2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ontserrat" w:hAnsi="Montserrat"/>
      <w:b/>
      <w:bCs/>
      <w:color w:val="2B2B28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ontserrat" w:hAnsi="Montserrat"/>
      <w:b/>
      <w:bCs/>
      <w:color w:val="C16547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Montserrat" w:hAnsi="Montserrat"/>
      <w:b/>
      <w:color w:val="2B2B28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