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Регистр расчёта туристического налога</w:t>
      </w:r>
    </w:p>
    <w:p>
      <w:pPr/>
      <w:r>
        <w:rPr>
          <w:rFonts w:ascii="Times New Roman" w:hAnsi="Times New Roman" w:eastAsia="Times New Roman"/>
          <w:i/>
          <w:color w:val="000000"/>
        </w:rPr>
        <w:t>Рабочая налоговая ведомость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226"/>
        <w:gridCol w:w="1226"/>
        <w:gridCol w:w="1226"/>
        <w:gridCol w:w="1226"/>
        <w:gridCol w:w="1226"/>
        <w:gridCol w:w="1226"/>
        <w:gridCol w:w="1226"/>
        <w:gridCol w:w="1226"/>
      </w:tblGrid>
      <w:tr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Период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Бронирование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Полный расчёт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Стоимость проживания без НДС/налога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Ставка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Минимальный налог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Льгота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Сумма</w:t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/>
      <w:r>
        <w:rPr>
          <w:rFonts w:ascii="Times New Roman" w:hAnsi="Times New Roman" w:eastAsia="Times New Roman"/>
          <w:color w:val="000000"/>
        </w:rPr>
        <w:t>Ставка и льготы берутся из действующего акта муниципалитета. Момент расчёта определяется по правилам главы 33.1 НК РФ.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Нормативная основа</w:t>
      </w:r>
    </w:p>
    <w:p>
      <w:pPr/>
      <w:r>
        <w:rPr>
          <w:rFonts w:ascii="Times New Roman" w:hAnsi="Times New Roman" w:eastAsia="Times New Roman"/>
          <w:color w:val="000000"/>
        </w:rPr>
        <w:t>Глава 33.1 НК РФ; местный нормативный акт; разъяснения ФНС.</w:t>
      </w:r>
    </w:p>
    <w:p>
      <w:pPr>
        <w:pStyle w:val="IntenseQuote"/>
      </w:pPr>
      <w:r>
        <w:rPr>
          <w:rFonts w:ascii="Times New Roman" w:hAnsi="Times New Roman" w:eastAsia="Times New Roman"/>
          <w:color w:val="000000"/>
        </w:rPr>
        <w:t>Применимость и состав документа проверяются по характеристикам конкретного объекта и действующей редакции норм.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