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Ежедневный контроль ККТ и расчётов</w:t>
      </w:r>
    </w:p>
    <w:p>
      <w:pPr/>
      <w:r>
        <w:rPr>
          <w:rFonts w:ascii="Times New Roman" w:hAnsi="Times New Roman" w:eastAsia="Times New Roman"/>
          <w:i/>
          <w:color w:val="000000"/>
        </w:rPr>
        <w:t>Для объектов, применяющих онлайн-кассу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226"/>
        <w:gridCol w:w="1226"/>
        <w:gridCol w:w="1226"/>
        <w:gridCol w:w="1226"/>
        <w:gridCol w:w="1226"/>
        <w:gridCol w:w="1226"/>
        <w:gridCol w:w="1226"/>
        <w:gridCol w:w="1226"/>
      </w:tblGrid>
      <w:tr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Дата/смена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ККТ/ФН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Связь с ОФД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Чеки/коррекции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Эквайринг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Расхождение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Мера</w:t>
            </w:r>
          </w:p>
        </w:tc>
        <w:tc>
          <w:tcPr>
            <w:tcW w:type="dxa" w:w="1226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226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Федеральный закон №54-ФЗ и применимые форматы фискальных документов.</w:t>
      </w:r>
    </w:p>
    <w:p>
      <w:pPr>
        <w:pStyle w:val="IntenseQuote"/>
      </w:pPr>
      <w:r>
        <w:rPr>
          <w:rFonts w:ascii="Times New Roman" w:hAnsi="Times New Roman" w:eastAsia="Times New Roman"/>
          <w:color w:val="000000"/>
        </w:rPr>
        <w:t>Применимость и состав документа проверяются по характеристикам конкретного объекта и действующей редакции норм.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