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Акт возврата или корректировки расчёта</w:t>
      </w:r>
    </w:p>
    <w:p>
      <w:pPr/>
      <w:r>
        <w:rPr>
          <w:rFonts w:ascii="Times New Roman" w:hAnsi="Times New Roman" w:eastAsia="Times New Roman"/>
          <w:i/>
          <w:color w:val="000000"/>
        </w:rPr>
        <w:t>Приложение к кассовым документам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904"/>
        <w:gridCol w:w="4904"/>
      </w:tblGrid>
      <w:tr>
        <w:tc>
          <w:tcPr>
            <w:tcW w:type="dxa" w:w="4904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Поле</w:t>
            </w:r>
          </w:p>
        </w:tc>
        <w:tc>
          <w:tcPr>
            <w:tcW w:type="dxa" w:w="4904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Значение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Дата/номер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Гость/заказчик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Бронирование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Первоначальный чек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Причина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Сумма и способ возврата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Чек возврата/коррекции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Приложения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</w:rPr>
        <w:t>Подписи и ознакомление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Сторона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 / 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Сторона 1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Сторона 2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