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контроля регистрационного и миграционного учёта</w:t>
      </w:r>
    </w:p>
    <w:p>
      <w:pPr/>
      <w:r>
        <w:rPr>
          <w:rFonts w:ascii="Times New Roman" w:hAnsi="Times New Roman" w:eastAsia="Times New Roman"/>
          <w:i/>
          <w:color w:val="000000"/>
        </w:rPr>
        <w:t>Не заменяет официальные уведомления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226"/>
        <w:gridCol w:w="1226"/>
        <w:gridCol w:w="1226"/>
        <w:gridCol w:w="1226"/>
        <w:gridCol w:w="1226"/>
        <w:gridCol w:w="1226"/>
        <w:gridCol w:w="1226"/>
        <w:gridCol w:w="1226"/>
      </w:tblGrid>
      <w:tr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 заезда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Гость/идентификатор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Гражданство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Вид действия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Крайний срок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Отправлено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Подтверждение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Подписи и ознакомление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