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16547"/>
          <w:sz w:val="52"/>
        </w:rPr>
        <w:t>▌</w:t>
      </w:r>
    </w:p>
    <w:p>
      <w:pPr>
        <w:pStyle w:val="Title"/>
      </w:pPr>
      <w:r>
        <w:t>Карточка официальных форм учёта гостей</w:t>
      </w:r>
    </w:p>
    <w:p>
      <w:r>
        <w:rPr>
          <w:i/>
          <w:color w:val="8A7A68"/>
        </w:rPr>
        <w:t>Не используйте самодельные уведомления</w:t>
      </w:r>
    </w:p>
    <w:p>
      <w:pPr>
        <w:pStyle w:val="ListBullet"/>
      </w:pPr>
      <w:r>
        <w:t>Формы регистрации граждан РФ и уведомления по иностранным гражданам берутся из действующих актов МВД/Правительства и используемой государственной системы.</w:t>
      </w:r>
    </w:p>
    <w:p>
      <w:pPr>
        <w:pStyle w:val="ListBullet"/>
      </w:pPr>
      <w:r>
        <w:t>Перед сезоном проверьте номера и редакции форм, порядок электронного направления, сроки, основания постановки и снятия с учёта.</w:t>
      </w:r>
    </w:p>
    <w:p>
      <w:pPr>
        <w:pStyle w:val="ListBullet"/>
      </w:pPr>
      <w:r>
        <w:t>Сохраняйте подтверждение приёма сообщения системой.</w:t>
      </w:r>
    </w:p>
    <w:p>
      <w:pPr>
        <w:pStyle w:val="ListBullet"/>
      </w:pPr>
      <w:r>
        <w:t>Не размещайте на публичном сайте заполненные примеры с персональными данными.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C16547"/>
          </w:tcPr>
          <w:p>
            <w:r>
              <w:rPr>
                <w:b/>
                <w:color w:val="FFFFFF"/>
              </w:rPr>
              <w:t>Форма/действие</w:t>
            </w:r>
          </w:p>
        </w:tc>
        <w:tc>
          <w:tcPr>
            <w:tcW w:type="dxa" w:w="2452"/>
            <w:shd w:fill="C16547"/>
          </w:tcPr>
          <w:p>
            <w:r>
              <w:rPr>
                <w:b/>
                <w:color w:val="FFFFFF"/>
              </w:rPr>
              <w:t>Нормативный источник</w:t>
            </w:r>
          </w:p>
        </w:tc>
        <w:tc>
          <w:tcPr>
            <w:tcW w:type="dxa" w:w="2452"/>
            <w:shd w:fill="C16547"/>
          </w:tcPr>
          <w:p>
            <w:r>
              <w:rPr>
                <w:b/>
                <w:color w:val="FFFFFF"/>
              </w:rPr>
              <w:t>Текущая версия</w:t>
            </w:r>
          </w:p>
        </w:tc>
        <w:tc>
          <w:tcPr>
            <w:tcW w:type="dxa" w:w="2452"/>
            <w:shd w:fill="C16547"/>
          </w:tcPr>
          <w:p>
            <w:r>
              <w:rPr>
                <w:b/>
                <w:color w:val="FFFFFF"/>
              </w:rPr>
              <w:t>Проверено</w:t>
            </w:r>
          </w:p>
        </w:tc>
      </w:tr>
      <w:tr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Версия 30.09.2026 •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8A7A68"/>
        <w:sz w:val="16"/>
      </w:rPr>
      <w:t>ДОКУМЕНТЫ ОТЕЛЬЕРА • 09-03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PT Sans" w:hAnsi="PT Sans"/>
      <w:color w:val="2B2B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ontserrat" w:hAnsi="Montserrat"/>
      <w:b/>
      <w:bCs/>
      <w:color w:val="2B2B2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ontserrat" w:hAnsi="Montserrat"/>
      <w:b/>
      <w:bCs/>
      <w:color w:val="C165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ontserrat" w:hAnsi="Montserrat"/>
      <w:b/>
      <w:color w:val="2B2B2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