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бракеража готовой продукции</w:t>
      </w:r>
    </w:p>
    <w:p>
      <w:pPr/>
      <w:r>
        <w:rPr>
          <w:rFonts w:ascii="Times New Roman" w:hAnsi="Times New Roman" w:eastAsia="Times New Roman"/>
          <w:i/>
          <w:color w:val="000000"/>
        </w:rPr>
        <w:t>Условно обязательная рабочая форма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Блюдо/партия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Оценка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Разрешение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