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04"/>
        <w:gridCol w:w="4904"/>
      </w:tblGrid>
      <w:tr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УТВЕРЖДАЮ</w:t>
              <w:br/>
              <w:t>[должность, например: управляющий]</w:t>
              <w:br/>
              <w:t>________ / [личная подпись] /</w:t>
              <w:br/>
              <w:t>«___» ________ 20__ г.</w:t>
            </w:r>
          </w:p>
        </w:tc>
      </w:tr>
    </w:tbl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Должностная инструкция администратора</w:t>
      </w:r>
    </w:p>
    <w:p>
      <w:pPr/>
      <w:r>
        <w:rPr>
          <w:rFonts w:ascii="Times New Roman" w:hAnsi="Times New Roman" w:eastAsia="Times New Roman"/>
          <w:i/>
          <w:color w:val="000000"/>
        </w:rPr>
        <w:t>Рабочий шаблон работодателя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Функции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бронирование, заселение, расчёты, обращения, учёт и передача смены;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Обязанности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соблюдать правила услуг, ПДн, кассу, миграционный и пожарный порядок;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Права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получать информацию, требовать устранения угроз, привлекать старшего смены;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Ответственность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в пределах закона, трудового договора и доказанной вины;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Требования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[ОБРАЗОВАНИЕ/ОПЫТ/ОБУЧЕНИЕ].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Подписи и ознакомление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Ответственный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 / 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