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4"/>
        <w:gridCol w:w="4904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 / [личная подпись] /</w:t>
              <w:br/>
              <w:t>«___» 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Должностная инструкция горничной</w:t>
      </w:r>
    </w:p>
    <w:p>
      <w:pPr/>
      <w:r>
        <w:rPr>
          <w:rFonts w:ascii="Times New Roman" w:hAnsi="Times New Roman" w:eastAsia="Times New Roman"/>
          <w:i/>
          <w:color w:val="000000"/>
        </w:rPr>
        <w:t>Рабочий шаблон работодателя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Функции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уборка и подготовка номеров, бельё, комплектация, сообщение о дефектах;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Обязанности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соблюдать маршрут, маркировку инвентаря, инструкции химии, ПДн и порядок забытых вещей;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Права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получать СИЗ, безопасный инвентарь и обучение; прекращать опасную работу;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Ответственность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в пределах закона, трудового договора и доказанной вины;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Требования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[ОБУЧЕНИЕ/МЕДОСМОТРЫ ПО ПРИМЕНИМОСТИ].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Подписи и ознакомление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/ 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